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6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ПРИЛОЖЕНИЕ 4</w:t>
      </w:r>
    </w:p>
    <w:p>
      <w:pPr>
        <w:pStyle w:val="Style16"/>
        <w:shd w:val="clear" w:color="auto" w:fill="FFFFFF"/>
        <w:spacing w:lineRule="auto" w:line="360"/>
        <w:ind w:firstLine="567"/>
        <w:jc w:val="both"/>
        <w:rPr>
          <w:color w:val="000000"/>
        </w:rPr>
      </w:pPr>
      <w:r>
        <w:rPr>
          <w:color w:val="000000"/>
        </w:rPr>
      </w:r>
    </w:p>
    <w:p>
      <w:pPr>
        <w:pStyle w:val="Style16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α, β, γ-частицы, проходя через вещество, ионизируют его, выбивая электроны из молекул и атомов. Ионизация живой ткани нарушает жизнедеятельность клеток, из которых эта ткань состоит. Степень отрицательного воздействия радиации зависит от вида частиц, их энергии, времени воздействия и органа, на который они воздействуют.</w:t>
      </w:r>
    </w:p>
    <w:p>
      <w:pPr>
        <w:pStyle w:val="Style16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Зависимость степени воздействия от энергии определяют такие величины как поглощенная доза и мощность поглощенной дозы. </w:t>
      </w:r>
    </w:p>
    <w:p>
      <w:pPr>
        <w:pStyle w:val="Style16"/>
        <w:spacing w:lineRule="auto" w:line="360"/>
        <w:ind w:left="720" w:hanging="0"/>
        <w:jc w:val="center"/>
        <w:rPr/>
      </w:pPr>
      <w:r>
        <w:rPr/>
        <w:drawing>
          <wp:inline distT="0" distB="0" distL="0" distR="0">
            <wp:extent cx="3822700" cy="179768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0" cy="179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16"/>
        <w:tabs>
          <w:tab w:val="clear" w:pos="709"/>
          <w:tab w:val="left" w:pos="570" w:leader="none"/>
        </w:tabs>
        <w:spacing w:lineRule="auto" w:line="360"/>
        <w:ind w:firstLine="567"/>
        <w:jc w:val="both"/>
        <w:rPr/>
      </w:pPr>
      <w:r>
        <w:rPr>
          <w:b/>
          <w:bCs/>
          <w:i/>
          <w:iCs/>
        </w:rPr>
        <w:t xml:space="preserve">Поглощенная доза излучения </w:t>
      </w:r>
      <w:r>
        <w:rPr/>
        <w:t>— это универсальная мера воздействия любого вида излучения на вещество. Она равна отношению энергии, переданной ионизирующим излучением веществу, к массе вещества:</w:t>
      </w:r>
    </w:p>
    <w:p>
      <w:pPr>
        <w:pStyle w:val="Style16"/>
        <w:spacing w:lineRule="auto" w:line="360"/>
        <w:ind w:left="720" w:hanging="0"/>
        <w:jc w:val="center"/>
        <w:rPr/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D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E</m:t>
            </m:r>
          </m:num>
          <m:den>
            <m:r>
              <w:rPr>
                <w:rFonts w:ascii="Cambria Math" w:hAnsi="Cambria Math"/>
              </w:rPr>
              <m:t xml:space="preserve">m</m:t>
            </m:r>
          </m:den>
        </m:f>
      </m:oMath>
    </w:p>
    <w:p>
      <w:pPr>
        <w:pStyle w:val="Style16"/>
        <w:spacing w:lineRule="auto" w:line="360"/>
        <w:ind w:firstLine="567"/>
        <w:jc w:val="both"/>
        <w:rPr/>
      </w:pPr>
      <w:r>
        <w:rPr/>
        <w:t>За единицу поглощенной дозы излучения в СИ принят Грей (Гр). 1 Гр равен поглощенной дозе излучения, при которой веществу массой 1 г передаётся энергия ионизирующего излучения 1 Дж.</w:t>
      </w:r>
    </w:p>
    <w:p>
      <w:pPr>
        <w:pStyle w:val="Style16"/>
        <w:spacing w:lineRule="auto" w:line="360"/>
        <w:ind w:firstLine="567"/>
        <w:jc w:val="center"/>
        <w:rPr/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1</m:t>
        </m:r>
        <m:r>
          <w:rPr>
            <w:rFonts w:ascii="Cambria Math" w:hAnsi="Cambria Math"/>
          </w:rPr>
          <m:t xml:space="preserve">Гр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1</m:t>
        </m:r>
        <m:f>
          <m:num>
            <m:r>
              <w:rPr>
                <w:rFonts w:ascii="Cambria Math" w:hAnsi="Cambria Math"/>
              </w:rPr>
              <m:t xml:space="preserve">Дж</m:t>
            </m:r>
          </m:num>
          <m:den>
            <m:r>
              <w:rPr>
                <w:rFonts w:ascii="Cambria Math" w:hAnsi="Cambria Math"/>
              </w:rPr>
              <m:t xml:space="preserve">кг</m:t>
            </m:r>
          </m:den>
        </m:f>
      </m:oMath>
    </w:p>
    <w:p>
      <w:pPr>
        <w:pStyle w:val="Style16"/>
        <w:spacing w:lineRule="auto" w:line="360"/>
        <w:ind w:firstLine="567"/>
        <w:jc w:val="both"/>
        <w:rPr/>
      </w:pPr>
      <w:r>
        <w:rPr/>
        <w:t>Иногда используют внесистемную единицу: 1 рад = 0,01 Гр.</w:t>
      </w:r>
    </w:p>
    <w:p>
      <w:pPr>
        <w:pStyle w:val="Style16"/>
        <w:spacing w:lineRule="auto" w:line="360"/>
        <w:ind w:firstLine="567"/>
        <w:jc w:val="both"/>
        <w:rPr/>
      </w:pPr>
      <w:r>
        <w:rPr/>
        <w:t xml:space="preserve">Отношение поглощенной дозы излучения к времени облучения называется </w:t>
      </w:r>
      <w:r>
        <w:rPr>
          <w:b/>
          <w:bCs/>
        </w:rPr>
        <w:t>мощностью поглощенной дозы</w:t>
      </w:r>
      <w:r>
        <w:rPr/>
        <w:t>:</w:t>
      </w:r>
    </w:p>
    <w:p>
      <w:pPr>
        <w:pStyle w:val="Style16"/>
        <w:spacing w:lineRule="auto" w:line="360"/>
        <w:ind w:left="720" w:hanging="0"/>
        <w:jc w:val="center"/>
        <w:rPr/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P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D</m:t>
            </m:r>
          </m:num>
          <m:den>
            <m:r>
              <w:rPr>
                <w:rFonts w:ascii="Cambria Math" w:hAnsi="Cambria Math"/>
              </w:rPr>
              <m:t xml:space="preserve">t</m:t>
            </m:r>
          </m:den>
        </m:f>
      </m:oMath>
    </w:p>
    <w:p>
      <w:pPr>
        <w:pStyle w:val="Style16"/>
        <w:spacing w:lineRule="auto" w:line="360"/>
        <w:ind w:firstLine="624"/>
        <w:jc w:val="both"/>
        <w:rPr/>
      </w:pPr>
      <w:r>
        <w:rPr/>
        <w:t>Единица измерения: Гр/с.</w:t>
      </w:r>
    </w:p>
    <w:p>
      <w:pPr>
        <w:pStyle w:val="Style16"/>
        <w:spacing w:lineRule="auto" w:line="360"/>
        <w:ind w:firstLine="624"/>
        <w:jc w:val="both"/>
        <w:rPr/>
      </w:pPr>
      <w:r>
        <w:rPr/>
      </w:r>
    </w:p>
    <w:p>
      <w:pPr>
        <w:pStyle w:val="Style16"/>
        <w:spacing w:lineRule="auto" w:line="360"/>
        <w:ind w:firstLine="624"/>
        <w:jc w:val="both"/>
        <w:rPr/>
      </w:pPr>
      <w:r>
        <w:rPr/>
        <w:t xml:space="preserve">Физическое воздействие любого ионизирующего излучения на вещество связано прежде всего с ионизацией атомов и молекул. Количественной мерой действия ионизирующего излучения служит </w:t>
      </w:r>
      <w:r>
        <w:rPr>
          <w:b/>
          <w:bCs/>
          <w:i/>
          <w:iCs/>
        </w:rPr>
        <w:t>экспозиционная доза</w:t>
      </w:r>
      <w:r>
        <w:rPr/>
        <w:t>, которая характеризует ионизирующее действия излучения на воздух. Экспозиционная доза равна отношению электрического заряда ионов одного знака, возникающих в сухом воздухе при его облучении фотонами, к массе воздуха:</w:t>
      </w:r>
    </w:p>
    <w:p>
      <w:pPr>
        <w:pStyle w:val="Style16"/>
        <w:spacing w:lineRule="auto" w:line="360"/>
        <w:ind w:left="720" w:hanging="0"/>
        <w:jc w:val="center"/>
        <w:rPr/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X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q</m:t>
            </m:r>
          </m:num>
          <m:den>
            <m:r>
              <w:rPr>
                <w:rFonts w:ascii="Cambria Math" w:hAnsi="Cambria Math"/>
              </w:rPr>
              <m:t xml:space="preserve">m</m:t>
            </m:r>
          </m:den>
        </m:f>
      </m:oMath>
    </w:p>
    <w:p>
      <w:pPr>
        <w:pStyle w:val="Style16"/>
        <w:spacing w:lineRule="auto" w:line="360"/>
        <w:ind w:firstLine="567"/>
        <w:jc w:val="both"/>
        <w:rPr/>
      </w:pPr>
      <w:r>
        <w:rPr/>
        <w:t>В СИ единицей экспозиционной дозы является кулон на килограмм (Кл/кг) — это такая доза, при которой в сухом атмосферном воздухе массой 1 кг создаются ионы, несущие электрический заряд каждого знака, равный 1 Кл.</w:t>
      </w:r>
    </w:p>
    <w:p>
      <w:pPr>
        <w:pStyle w:val="Style16"/>
        <w:spacing w:lineRule="auto" w:line="360"/>
        <w:ind w:firstLine="567"/>
        <w:jc w:val="both"/>
        <w:rPr/>
      </w:pPr>
      <w:r>
        <w:rPr/>
        <w:t>До сих пор употребляется внесистемная единица — рентген (Р). 1 Р = 2,58 ×10</w:t>
      </w:r>
      <w:r>
        <w:rPr>
          <w:vertAlign w:val="superscript"/>
        </w:rPr>
        <w:t>-4</w:t>
      </w:r>
      <w:r>
        <w:rPr/>
        <w:t xml:space="preserve"> Кл/кг.</w:t>
      </w:r>
    </w:p>
    <w:p>
      <w:pPr>
        <w:pStyle w:val="Style16"/>
        <w:spacing w:lineRule="auto" w:line="360"/>
        <w:ind w:firstLine="567"/>
        <w:jc w:val="both"/>
        <w:rPr/>
      </w:pPr>
      <w:r>
        <w:rPr/>
        <w:t>При экспозиционной дозе 1 Р в 1 см</w:t>
      </w:r>
      <w:r>
        <w:rPr>
          <w:vertAlign w:val="superscript"/>
        </w:rPr>
        <w:t>3</w:t>
      </w:r>
      <w:r>
        <w:rPr/>
        <w:t xml:space="preserve"> воздуха при нормальном давлении образуется около 2 ×10</w:t>
      </w:r>
      <w:r>
        <w:rPr>
          <w:vertAlign w:val="superscript"/>
        </w:rPr>
        <w:t>9</w:t>
      </w:r>
      <w:r>
        <w:rPr/>
        <w:t xml:space="preserve"> пар ионов. Такая доза накапливается за 1 час на расстоянии 1 метр от радиоактивного препарата радия массой 1 г.</w:t>
      </w:r>
    </w:p>
    <w:p>
      <w:pPr>
        <w:pStyle w:val="Style16"/>
        <w:spacing w:lineRule="auto" w:line="360"/>
        <w:ind w:firstLine="567"/>
        <w:jc w:val="both"/>
        <w:rPr/>
      </w:pPr>
      <w:r>
        <w:rPr/>
        <w:t>При облучении мягких тканей человеческого организма рентгеновским или гамма-излучением экспозиционной дозе 1 Р соответствует поглощенная доза 8,8 мГр.</w:t>
      </w:r>
    </w:p>
    <w:p>
      <w:pPr>
        <w:pStyle w:val="Style16"/>
        <w:spacing w:lineRule="auto" w:line="360"/>
        <w:ind w:left="720" w:hanging="0"/>
        <w:jc w:val="center"/>
        <w:rPr/>
      </w:pPr>
      <w:r>
        <w:rPr/>
        <w:t>1 Р = 8,8 ×10</w:t>
      </w:r>
      <w:r>
        <w:rPr>
          <w:vertAlign w:val="superscript"/>
        </w:rPr>
        <w:t>-3</w:t>
      </w:r>
      <w:r>
        <w:rPr/>
        <w:t xml:space="preserve"> Гр </w:t>
      </w:r>
      <w:r>
        <w:rPr>
          <w:rFonts w:eastAsia="Times New Roman" w:cs="Times New Roman"/>
        </w:rPr>
        <w:t xml:space="preserve">≈ </w:t>
      </w:r>
      <w:r>
        <w:rPr/>
        <w:t>0,01 Гр</w:t>
      </w:r>
    </w:p>
    <w:p>
      <w:pPr>
        <w:pStyle w:val="Style16"/>
        <w:spacing w:lineRule="auto" w:line="360"/>
        <w:ind w:left="720" w:hanging="0"/>
        <w:jc w:val="center"/>
        <w:rPr/>
      </w:pPr>
      <w:r>
        <w:rPr/>
        <w:t xml:space="preserve">1 Гр = 113,6 Р </w:t>
      </w:r>
      <w:r>
        <w:rPr>
          <w:rFonts w:eastAsia="Times New Roman" w:cs="Times New Roman"/>
        </w:rPr>
        <w:t xml:space="preserve">≈ </w:t>
      </w:r>
      <w:r>
        <w:rPr/>
        <w:t>100 Р</w:t>
      </w:r>
    </w:p>
    <w:p>
      <w:pPr>
        <w:pStyle w:val="Style16"/>
        <w:spacing w:lineRule="auto" w:line="360"/>
        <w:ind w:left="720" w:hanging="0"/>
        <w:jc w:val="center"/>
        <w:rPr/>
      </w:pPr>
      <w:r>
        <w:rPr/>
      </w:r>
    </w:p>
    <w:p>
      <w:pPr>
        <w:pStyle w:val="Style16"/>
        <w:spacing w:lineRule="auto" w:line="360"/>
        <w:ind w:firstLine="567"/>
        <w:jc w:val="both"/>
        <w:rPr/>
      </w:pPr>
      <w:r>
        <w:rPr/>
        <w:t xml:space="preserve">Исследования состояния здоровья населения регионов Земли с уровнем естественного радиационного фона на 10-20 мЗв в год выше среднего значения не обнаружили неблагоприятного влияния такого облучения на здоровье людей. На этом основании </w:t>
      </w:r>
      <w:r>
        <w:rPr>
          <w:b/>
          <w:bCs/>
        </w:rPr>
        <w:t>признано допустимым для населения техногенное увеличение радиационного фона в среднем на 1 мЗв в год и не более 5 мЗв за один год.</w:t>
      </w:r>
      <w:r>
        <w:rPr/>
        <w:t xml:space="preserve"> Это не более 20-20 % от среднего уровня естественного фона радиации.</w:t>
      </w:r>
    </w:p>
    <w:p>
      <w:pPr>
        <w:pStyle w:val="Style16"/>
        <w:spacing w:lineRule="auto" w:line="360"/>
        <w:ind w:firstLine="567"/>
        <w:jc w:val="both"/>
        <w:rPr/>
      </w:pPr>
      <w:r>
        <w:rPr/>
        <w:t xml:space="preserve">Предельно допустимой дозе дополнительного облучения 5 мЗа в год соответствует мощность дозы 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5</m:t>
            </m:r>
            <m:r>
              <w:rPr>
                <w:rFonts w:ascii="Cambria Math" w:hAnsi="Cambria Math"/>
              </w:rPr>
              <m:t xml:space="preserve">мЗв</m:t>
            </m:r>
          </m:num>
          <m:den>
            <m:r>
              <w:rPr>
                <w:rFonts w:ascii="Cambria Math" w:hAnsi="Cambria Math"/>
              </w:rPr>
              <m:t xml:space="preserve">365</m:t>
            </m:r>
            <m:r>
              <w:rPr>
                <w:rFonts w:ascii="Cambria Math" w:hAnsi="Cambria Math"/>
              </w:rPr>
              <m:t xml:space="preserve">×</m:t>
            </m:r>
            <m:r>
              <w:rPr>
                <w:rFonts w:ascii="Cambria Math" w:hAnsi="Cambria Math"/>
              </w:rPr>
              <m:t xml:space="preserve">24</m:t>
            </m:r>
            <m:r>
              <w:rPr>
                <w:rFonts w:ascii="Cambria Math" w:hAnsi="Cambria Math"/>
              </w:rPr>
              <m:t xml:space="preserve">ч</m:t>
            </m:r>
          </m:den>
        </m:f>
        <m:r>
          <w:rPr>
            <w:rFonts w:ascii="Cambria Math" w:hAnsi="Cambria Math"/>
          </w:rPr>
          <m:t xml:space="preserve">≈</m:t>
        </m:r>
        <m:r>
          <w:rPr>
            <w:rFonts w:ascii="Cambria Math" w:hAnsi="Cambria Math"/>
          </w:rPr>
          <m:t xml:space="preserve">0,6</m:t>
        </m:r>
        <m:f>
          <m:fPr>
            <m:type m:val="lin"/>
          </m:fPr>
          <m:num>
            <m:r>
              <w:rPr>
                <w:rFonts w:ascii="Cambria Math" w:hAnsi="Cambria Math"/>
              </w:rPr>
              <m:t xml:space="preserve">мкЗв</m:t>
            </m:r>
          </m:num>
          <m:den>
            <m:r>
              <w:rPr>
                <w:rFonts w:ascii="Cambria Math" w:hAnsi="Cambria Math"/>
              </w:rPr>
              <m:t xml:space="preserve">ч</m:t>
            </m:r>
          </m:den>
        </m:f>
      </m:oMath>
      <w:r>
        <w:rPr/>
        <w:t>.</w:t>
      </w:r>
    </w:p>
    <w:p>
      <w:pPr>
        <w:pStyle w:val="Style16"/>
        <w:spacing w:lineRule="auto" w:line="360"/>
        <w:ind w:firstLine="567"/>
        <w:jc w:val="both"/>
        <w:rPr/>
      </w:pPr>
      <w:r>
        <w:rPr/>
        <w:t>Люди некоторых профессий подвергаются дополнительному облучению ионизирующей радиацией. Это врачи-рентгенологи, работники атомных электростанций, ученые и технический персонал, работающие в области ядерной физики и физики элементарных частиц, космонавты. Полностью устранить дополнительное действие ионизирующей радиации на их рабочих местах оказывается невозможным. Поэтому нужно было определить допустимую границу дополнительной дозы облучения.</w:t>
      </w:r>
    </w:p>
    <w:p>
      <w:pPr>
        <w:pStyle w:val="Style16"/>
        <w:spacing w:lineRule="auto" w:line="360"/>
        <w:ind w:firstLine="567"/>
        <w:jc w:val="both"/>
        <w:rPr/>
      </w:pPr>
      <w:r>
        <w:rPr/>
        <w:t xml:space="preserve">Для персонала АЭС и других предприятий, связанных с возможным облучением людей ионизирующей радиацией, в России установлена </w:t>
      </w:r>
      <w:r>
        <w:rPr>
          <w:b/>
          <w:bCs/>
        </w:rPr>
        <w:t>предельно допустимая доза облучения 20 мЗв/год в среднем за 5 лет, на не более 50 мЗв за 1 год</w:t>
      </w:r>
      <w:r>
        <w:rPr/>
        <w:t>, что не выходит за пределы уровня естественного фона радиации в отдельных местах на Земле.</w:t>
      </w:r>
    </w:p>
    <w:p>
      <w:pPr>
        <w:pStyle w:val="Style16"/>
        <w:spacing w:lineRule="auto" w:line="360"/>
        <w:ind w:firstLine="567"/>
        <w:jc w:val="both"/>
        <w:rPr>
          <w:color w:val="000000"/>
        </w:rPr>
      </w:pPr>
      <w:r>
        <w:rPr>
          <w:color w:val="000000"/>
        </w:rPr>
      </w:r>
    </w:p>
    <w:p>
      <w:pPr>
        <w:pStyle w:val="Style16"/>
        <w:spacing w:lineRule="auto" w:line="360"/>
        <w:jc w:val="both"/>
        <w:rPr/>
      </w:pPr>
      <w:r>
        <w:rPr>
          <w:b/>
          <w:bCs/>
          <w:color w:val="000000"/>
        </w:rPr>
        <w:t>Отрывок из книги Кейт Мур:</w:t>
      </w:r>
    </w:p>
    <w:p>
      <w:pPr>
        <w:pStyle w:val="Style16"/>
        <w:shd w:val="clear" w:color="auto" w:fill="FFFFFF"/>
        <w:spacing w:lineRule="auto" w:line="360" w:before="100" w:after="0"/>
        <w:ind w:firstLine="567"/>
        <w:jc w:val="both"/>
        <w:rPr/>
      </w:pPr>
      <w:r>
        <w:rPr>
          <w:color w:val="202122"/>
        </w:rPr>
        <w:t xml:space="preserve">В 1933 году Робли Эванс провёл первые измерения выдыхания радона и содержания радия в выделениях бывшей работницы компании. Работая в Массачусетском технологическом институте, он собрал надёжные данные о содержании веществ в организме 27 бывших работниц. Полученные данные использовались в 1941 году </w:t>
      </w:r>
      <w:r>
        <w:rPr>
          <w:rStyle w:val="Style14"/>
          <w:color w:val="000000"/>
          <w:u w:val="none"/>
        </w:rPr>
        <w:t>Национальным институтом стандартов и технологий США</w:t>
      </w:r>
      <w:r>
        <w:rPr>
          <w:color w:val="000000"/>
        </w:rPr>
        <w:t xml:space="preserve"> для установления допустимого уровня пассивного излучения радия в 0,1 мк</w:t>
      </w:r>
      <w:r>
        <w:rPr>
          <w:rStyle w:val="Style14"/>
          <w:color w:val="000000"/>
          <w:u w:val="none"/>
        </w:rPr>
        <w:t>Ки</w:t>
      </w:r>
      <w:r>
        <w:rPr>
          <w:color w:val="000000"/>
        </w:rPr>
        <w:t xml:space="preserve"> (3,7 к</w:t>
      </w:r>
      <w:r>
        <w:rPr>
          <w:rStyle w:val="Style14"/>
          <w:color w:val="000000"/>
          <w:u w:val="none"/>
        </w:rPr>
        <w:t>Бк</w:t>
      </w:r>
      <w:r>
        <w:rPr>
          <w:color w:val="000000"/>
        </w:rPr>
        <w:t>).</w:t>
      </w:r>
    </w:p>
    <w:p>
      <w:pPr>
        <w:pStyle w:val="Style16"/>
        <w:shd w:val="clear" w:color="auto" w:fill="FFFFFF"/>
        <w:spacing w:lineRule="auto" w:line="360" w:before="0" w:after="100"/>
        <w:ind w:firstLine="567"/>
        <w:jc w:val="both"/>
        <w:rPr/>
      </w:pPr>
      <w:r>
        <w:rPr>
          <w:color w:val="202122"/>
        </w:rPr>
        <w:t>В 1968 году при</w:t>
      </w:r>
      <w:r>
        <w:rPr>
          <w:color w:val="000000"/>
        </w:rPr>
        <w:t xml:space="preserve"> </w:t>
      </w:r>
      <w:r>
        <w:rPr>
          <w:rStyle w:val="Style14"/>
          <w:color w:val="000000"/>
          <w:u w:val="none"/>
        </w:rPr>
        <w:t>Аргоннской национальной лаборатории</w:t>
      </w:r>
      <w:r>
        <w:rPr>
          <w:color w:val="000000"/>
        </w:rPr>
        <w:t xml:space="preserve"> </w:t>
      </w:r>
      <w:r>
        <w:rPr>
          <w:color w:val="202122"/>
        </w:rPr>
        <w:t>был создан центр изучения радиобиологии человека. Основной целью центра являлись медицинские наблюдения за бывшими красильщицами радиевых фабрик, которые были ещё живы. Проект был также сосредоточен на сборе информации, а в некоторых случаях занимался сбором и изучением образцов тканей бывших красильщиц. К моменту завершения проекта в 1993 году была собрана подробная информация по 2403 случаям. Симптомы радиационного отравления не были диагностированы у тех красильщиц, доза облучения которых менее, чем в тысячу раз превосходила нормальный уровень изотопа</w:t>
      </w:r>
      <w:r>
        <w:rPr>
          <w:color w:val="000000"/>
        </w:rPr>
        <w:t xml:space="preserve"> </w:t>
      </w:r>
      <w:r>
        <w:rPr>
          <w:rStyle w:val="Style14"/>
          <w:color w:val="000000"/>
          <w:u w:val="none"/>
        </w:rPr>
        <w:t>радия-226</w:t>
      </w:r>
      <w:r>
        <w:rPr>
          <w:color w:val="000000"/>
        </w:rPr>
        <w:t xml:space="preserve">, </w:t>
      </w:r>
      <w:r>
        <w:rPr>
          <w:color w:val="202122"/>
        </w:rPr>
        <w:t>измеренный у людей, которые не подвергались воздействию облучения, что заложило основу для определения порога риска возникновения злокачественных опухолей при облучении радием.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Times New Roman" w:hAnsi="Times New Roman" w:eastAsia="NSimSun" w:cs="Arial"/>
      <w:color w:val="auto"/>
      <w:kern w:val="2"/>
      <w:sz w:val="24"/>
      <w:szCs w:val="24"/>
      <w:lang w:val="ru-RU" w:eastAsia="zh-CN" w:bidi="hi-IN"/>
    </w:rPr>
  </w:style>
  <w:style w:type="character" w:styleId="DefaultParagraphFont">
    <w:name w:val="Default Paragraph Font"/>
    <w:qFormat/>
    <w:rPr/>
  </w:style>
  <w:style w:type="character" w:styleId="Style14">
    <w:name w:val="Интернет-ссылка"/>
    <w:basedOn w:val="DefaultParagraphFont"/>
    <w:rPr>
      <w:color w:val="0563C1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Trio_Office/6.2.8.2$Windows_x86 LibreOffice_project/</Application>
  <Pages>3</Pages>
  <Words>643</Words>
  <Characters>4029</Characters>
  <CharactersWithSpaces>4654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2022-05-29T15:18:57Z</dcterms:created>
  <dc:creator/>
  <dc:description/>
  <dc:language>ru-RU</dc:language>
  <cp:lastModifiedBy/>
  <dcterms:modified xsi:type="dcterms:W3CDTF">2022-05-29T15:19:04Z</dcterms:modified>
  <cp:revision>1</cp:revision>
  <dc:subject/>
  <dc:title/>
</cp:coreProperties>
</file>